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pPr>
        <w:pStyle w:val="instruct"/>
        <w:spacing w:before="120"/>
        <w:ind w:left="357"/>
        <w:jc w:val="center"/>
        <w:rPr>
          <w:rFonts w:asciiTheme="minorHAnsi" w:hAnsiTheme="minorHAnsi" w:cstheme="minorHAnsi"/>
          <w:b/>
          <w:bCs/>
          <w:i w:val="0"/>
          <w:iCs w:val="0"/>
          <w:sz w:val="24"/>
          <w:szCs w:val="24"/>
          <w:lang w:eastAsia="en-US"/>
        </w:rPr>
      </w:pPr>
    </w:p>
    <w:bookmarkEnd w:id="0"/>
    <w:p>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pPr>
        <w:jc w:val="center"/>
        <w:rPr>
          <w:rFonts w:asciiTheme="minorHAnsi" w:hAnsiTheme="minorHAnsi" w:cstheme="minorHAnsi"/>
          <w:b/>
          <w:bCs/>
          <w:sz w:val="24"/>
        </w:rPr>
      </w:pPr>
      <w:r>
        <w:rPr>
          <w:rFonts w:asciiTheme="minorHAnsi" w:hAnsiTheme="minorHAnsi" w:cstheme="minorHAnsi"/>
          <w:b/>
          <w:bCs/>
          <w:sz w:val="24"/>
        </w:rPr>
        <w:t>pentru Solicitant individual sau Lider de parteneriat</w:t>
      </w:r>
    </w:p>
    <w:p>
      <w:pPr>
        <w:jc w:val="both"/>
        <w:rPr>
          <w:rFonts w:asciiTheme="minorHAnsi" w:hAnsiTheme="minorHAnsi" w:cstheme="minorHAnsi"/>
          <w:sz w:val="24"/>
        </w:rPr>
      </w:pPr>
    </w:p>
    <w:p>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pPr>
        <w:pStyle w:val="bullet"/>
        <w:ind w:left="720"/>
        <w:rPr>
          <w:rFonts w:asciiTheme="minorHAnsi" w:hAnsiTheme="minorHAnsi" w:cstheme="minorHAnsi"/>
          <w:i/>
          <w:sz w:val="24"/>
        </w:rPr>
      </w:pPr>
      <w:r>
        <w:rPr>
          <w:rFonts w:asciiTheme="minorHAnsi" w:hAnsiTheme="minorHAnsi" w:cstheme="minorHAnsi"/>
          <w:i/>
          <w:sz w:val="24"/>
        </w:rPr>
        <w:t xml:space="preserve">1. Se consideră că o activitate prejudiciază în mod semnificativ atenuarea schimbărilor climatice în cazul în care activitatea respectivă generează emisii semnificative de gaze cu efect de seră (GES); </w:t>
      </w:r>
    </w:p>
    <w:p>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pPr>
        <w:pStyle w:val="Default"/>
        <w:jc w:val="both"/>
        <w:rPr>
          <w:rFonts w:asciiTheme="minorHAnsi" w:hAnsiTheme="minorHAnsi" w:cstheme="minorHAnsi"/>
        </w:rPr>
      </w:pPr>
      <w:r>
        <w:rPr>
          <w:rFonts w:asciiTheme="minorHAnsi" w:hAnsiTheme="minorHAnsi" w:cstheme="minorHAnsi"/>
        </w:rPr>
        <w:t xml:space="preserve">Investiția este încadrată sub codul 042 Gestionarea deșeurilor menajere, măsuri de prevenire, minimizare, sortare, reutilizare și reciclare. Investiția nu va conduce la o creștere semnificativă a emisiilor de gaze cu efect de seră, dar nivelul acestora va fi calculat pentru fiecare proiect în cadrul procedurii de evaluare a impactului asupra mediului. Întrucât activitatea nu este vizată de pragurile ETS (Directiva 2003/61/CE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p>
      <w:pPr>
        <w:spacing w:after="0"/>
        <w:jc w:val="both"/>
        <w:rPr>
          <w:rFonts w:asciiTheme="minorHAnsi" w:hAnsiTheme="minorHAnsi" w:cstheme="minorHAnsi"/>
          <w:sz w:val="24"/>
        </w:rPr>
      </w:pPr>
      <w:r>
        <w:rPr>
          <w:rFonts w:asciiTheme="minorHAnsi" w:hAnsiTheme="minorHAnsi" w:cstheme="minorHAnsi"/>
          <w:b/>
          <w:bCs/>
          <w:snapToGrid w:val="0"/>
          <w:sz w:val="24"/>
        </w:rPr>
        <w:t>Referitor la obiectivul de mediu 2</w:t>
      </w:r>
      <w:r>
        <w:rPr>
          <w:rFonts w:asciiTheme="minorHAnsi" w:hAnsiTheme="minorHAnsi" w:cstheme="minorHAnsi"/>
          <w:sz w:val="24"/>
        </w:rPr>
        <w:t xml:space="preserve"> </w:t>
      </w:r>
      <w:r>
        <w:rPr>
          <w:rFonts w:asciiTheme="minorHAnsi" w:hAnsiTheme="minorHAnsi" w:cstheme="minorHAnsi"/>
          <w:i/>
          <w:iCs/>
          <w:sz w:val="24"/>
        </w:rPr>
        <w:t>Adaptarea la schimbările climatice</w:t>
      </w:r>
    </w:p>
    <w:p>
      <w:pPr>
        <w:jc w:val="both"/>
        <w:rPr>
          <w:rFonts w:asciiTheme="minorHAnsi" w:hAnsiTheme="minorHAnsi" w:cstheme="minorHAnsi"/>
          <w:sz w:val="24"/>
        </w:rPr>
      </w:pPr>
      <w:r>
        <w:rPr>
          <w:rFonts w:asciiTheme="minorHAnsi" w:hAnsiTheme="minorHAnsi" w:cstheme="minorHAnsi"/>
          <w:sz w:val="24"/>
        </w:rPr>
        <w:t xml:space="preserve">Investiția este încadrată sub codul 042 Gestionarea deșeurilor menajere: măsuri de prevenire, minimizare, sortare, reutilizare și reciclare. Prin urmare, investiția are o contribuție substanțială la obiectivul de adaptare la schimbările climatice. </w:t>
      </w:r>
    </w:p>
    <w:p>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Măsura de reformă nu va afecta obiectivul de utilizare durabilă și de protejare a resurselor de apă și a celor marine întrucât dezvoltarea infrastructurii va fi realizată cu respectarea următoarelor cerințe: </w:t>
      </w:r>
    </w:p>
    <w:p>
      <w:pPr>
        <w:pStyle w:val="ListParagraph"/>
        <w:numPr>
          <w:ilvl w:val="0"/>
          <w:numId w:val="8"/>
        </w:numPr>
        <w:jc w:val="both"/>
        <w:rPr>
          <w:rFonts w:asciiTheme="minorHAnsi" w:hAnsiTheme="minorHAnsi" w:cstheme="minorHAnsi"/>
          <w:sz w:val="24"/>
        </w:rPr>
      </w:pPr>
      <w:r>
        <w:rPr>
          <w:rFonts w:asciiTheme="minorHAnsi" w:hAnsiTheme="minorHAnsi" w:cstheme="minorHAnsi"/>
          <w:sz w:val="24"/>
        </w:rPr>
        <w:t xml:space="preserve">Lucrările nu vor deteriora starea/potențialul ecologic a/al corpurilor de apă și nu vor împiedica îmbunătățirea potențialului ecologic cu luarea în considerare a efectelor schimbărilor climatice; 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nr. 107/1996, cu modificările și completările ulterioare, prin luarea în considerare a următoarelor aspecte: </w:t>
      </w:r>
    </w:p>
    <w:p>
      <w:pPr>
        <w:pStyle w:val="ListParagraph"/>
        <w:numPr>
          <w:ilvl w:val="1"/>
          <w:numId w:val="8"/>
        </w:numPr>
        <w:jc w:val="both"/>
        <w:rPr>
          <w:rFonts w:asciiTheme="minorHAnsi" w:hAnsiTheme="minorHAnsi" w:cstheme="minorHAnsi"/>
          <w:sz w:val="24"/>
        </w:rPr>
      </w:pPr>
      <w:r>
        <w:rPr>
          <w:rFonts w:asciiTheme="minorHAnsi" w:hAnsiTheme="minorHAnsi" w:cstheme="minorHAnsi"/>
          <w:sz w:val="24"/>
        </w:rPr>
        <w:t xml:space="preserve">Se vor lua toate măsurile posibile pentru a atenua impactul negativ asupra stării corpului de apă; </w:t>
      </w:r>
    </w:p>
    <w:p>
      <w:pPr>
        <w:pStyle w:val="ListParagraph"/>
        <w:numPr>
          <w:ilvl w:val="1"/>
          <w:numId w:val="8"/>
        </w:numPr>
        <w:jc w:val="both"/>
        <w:rPr>
          <w:rFonts w:asciiTheme="minorHAnsi" w:hAnsiTheme="minorHAnsi" w:cstheme="minorHAnsi"/>
          <w:sz w:val="24"/>
        </w:rPr>
      </w:pPr>
      <w:r>
        <w:rPr>
          <w:rFonts w:asciiTheme="minorHAnsi" w:hAnsiTheme="minorHAnsi" w:cstheme="minorHAnsi"/>
          <w:sz w:val="24"/>
        </w:rPr>
        <w:t xml:space="preserve">Se va analiza dacă 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 </w:t>
      </w:r>
    </w:p>
    <w:p>
      <w:pPr>
        <w:pStyle w:val="ListParagraph"/>
        <w:numPr>
          <w:ilvl w:val="1"/>
          <w:numId w:val="8"/>
        </w:numPr>
        <w:jc w:val="both"/>
        <w:rPr>
          <w:rFonts w:asciiTheme="minorHAnsi" w:hAnsiTheme="minorHAnsi" w:cstheme="minorHAnsi"/>
          <w:sz w:val="24"/>
        </w:rPr>
      </w:pPr>
      <w:r>
        <w:rPr>
          <w:rFonts w:asciiTheme="minorHAnsi" w:hAnsiTheme="minorHAnsi" w:cstheme="minorHAnsi"/>
          <w:sz w:val="24"/>
        </w:rPr>
        <w:t>Beneficiile care sunt înregistrate ca urmare a acestor modificări sau schimbări aduse corpului de apă nu pot fi atinse, prin alte mijloace (opțiune superioară din punct de vedere al protecției mediului), din motive care țin de fezabilitatea tehnică sau din cauza aspectelor de natură financiară.</w:t>
      </w:r>
    </w:p>
    <w:p>
      <w:pPr>
        <w:pStyle w:val="ListParagraph"/>
        <w:numPr>
          <w:ilvl w:val="0"/>
          <w:numId w:val="8"/>
        </w:numPr>
        <w:jc w:val="both"/>
        <w:rPr>
          <w:rFonts w:asciiTheme="minorHAnsi" w:hAnsiTheme="minorHAnsi" w:cstheme="minorHAnsi"/>
          <w:sz w:val="24"/>
        </w:rPr>
      </w:pPr>
      <w:r>
        <w:rPr>
          <w:rFonts w:asciiTheme="minorHAnsi" w:hAnsiTheme="minorHAnsi" w:cstheme="minorHAnsi"/>
          <w:sz w:val="24"/>
        </w:rPr>
        <w:lastRenderedPageBreak/>
        <w:t xml:space="preserve">Lucrările nu vor afecta negativ într-o măsură semnificativă speciile și habitatele direct dependente de apă. </w:t>
      </w:r>
    </w:p>
    <w:p>
      <w:pPr>
        <w:spacing w:after="0"/>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 xml:space="preserve">În toate etapele proiectului se va menține evidența gestiunii deșeurilor conform OUG 92/2021 privind regimul deșeurilor, cu modificările și completările ulterioare, HG nr. </w:t>
      </w:r>
      <w:r>
        <w:rPr>
          <w:rFonts w:asciiTheme="minorHAnsi" w:hAnsiTheme="minorHAnsi" w:cstheme="minorHAnsi"/>
          <w:sz w:val="24"/>
        </w:rPr>
        <w:lastRenderedPageBreak/>
        <w:t>856/2002 și respectiv Legea nr. 249/2015 privind modalitatea de gestionare a ambalajelor și a deșeurilor de ambalaje, cu modificările și completările ulterioare.</w:t>
      </w:r>
    </w:p>
    <w:p>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pPr>
        <w:jc w:val="both"/>
        <w:rPr>
          <w:rFonts w:asciiTheme="minorHAnsi" w:hAnsiTheme="minorHAnsi" w:cstheme="minorHAnsi"/>
          <w:sz w:val="24"/>
        </w:rPr>
      </w:pPr>
    </w:p>
    <w:p>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pPr>
        <w:spacing w:before="0" w:after="0"/>
        <w:jc w:val="both"/>
        <w:rPr>
          <w:rFonts w:asciiTheme="minorHAnsi" w:hAnsiTheme="minorHAnsi" w:cstheme="minorHAnsi"/>
          <w:b/>
          <w:bCs/>
          <w:sz w:val="24"/>
        </w:rPr>
      </w:pPr>
      <w:r>
        <w:rPr>
          <w:rFonts w:asciiTheme="minorHAnsi" w:hAnsiTheme="minorHAnsi" w:cstheme="minorHAnsi"/>
          <w:b/>
          <w:bCs/>
          <w:sz w:val="24"/>
        </w:rPr>
        <w:t>Apa</w:t>
      </w:r>
    </w:p>
    <w:p>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pPr>
        <w:jc w:val="both"/>
        <w:rPr>
          <w:rFonts w:asciiTheme="minorHAnsi" w:hAnsiTheme="minorHAnsi" w:cstheme="minorHAnsi"/>
          <w:sz w:val="24"/>
        </w:rPr>
      </w:pPr>
      <w:r>
        <w:rPr>
          <w:rFonts w:asciiTheme="minorHAnsi" w:hAnsiTheme="minorHAnsi" w:cstheme="minorHAnsi"/>
          <w:sz w:val="24"/>
        </w:rPr>
        <w:lastRenderedPageBreak/>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pPr>
        <w:jc w:val="both"/>
        <w:rPr>
          <w:rFonts w:asciiTheme="minorHAnsi" w:hAnsiTheme="minorHAnsi" w:cstheme="minorHAnsi"/>
          <w:sz w:val="24"/>
        </w:rPr>
      </w:pPr>
    </w:p>
    <w:p>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pPr>
        <w:jc w:val="both"/>
        <w:rPr>
          <w:rFonts w:asciiTheme="minorHAnsi" w:hAnsiTheme="minorHAnsi" w:cstheme="minorHAnsi"/>
          <w:b/>
          <w:bCs/>
          <w:snapToGrid w:val="0"/>
          <w:sz w:val="24"/>
        </w:rPr>
      </w:pPr>
      <w:r>
        <w:rPr>
          <w:rFonts w:asciiTheme="minorHAnsi" w:hAnsiTheme="minorHAnsi" w:cstheme="minorHAnsi"/>
          <w:b/>
          <w:bCs/>
          <w:snapToGrid w:val="0"/>
          <w:sz w:val="24"/>
          <w:highlight w:val="yellow"/>
        </w:rPr>
        <w:t xml:space="preserve">În cadrul procedurilor de </w:t>
      </w:r>
      <w:r>
        <w:rPr>
          <w:rFonts w:asciiTheme="minorHAnsi" w:hAnsiTheme="minorHAnsi" w:cstheme="minorHAnsi"/>
          <w:b/>
          <w:bCs/>
          <w:snapToGrid w:val="0"/>
          <w:sz w:val="24"/>
          <w:highlight w:val="yellow"/>
          <w:u w:val="single"/>
        </w:rPr>
        <w:t>achiziție pentru proiectare fazele SF/DALI,</w:t>
      </w:r>
      <w:r>
        <w:rPr>
          <w:rFonts w:asciiTheme="minorHAnsi" w:hAnsiTheme="minorHAnsi" w:cstheme="minorHAnsi"/>
          <w:b/>
          <w:bCs/>
          <w:snapToGrid w:val="0"/>
          <w:sz w:val="24"/>
          <w:highlight w:val="yellow"/>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pPr>
        <w:jc w:val="both"/>
        <w:rPr>
          <w:rFonts w:asciiTheme="minorHAnsi" w:hAnsiTheme="minorHAnsi" w:cstheme="minorHAnsi"/>
          <w:snapToGrid w:val="0"/>
          <w:sz w:val="24"/>
        </w:rPr>
      </w:pPr>
      <w:r>
        <w:rPr>
          <w:rFonts w:asciiTheme="minorHAnsi" w:hAnsiTheme="minorHAnsi" w:cstheme="minorHAnsi"/>
          <w:b/>
          <w:bCs/>
          <w:snapToGrid w:val="0"/>
          <w:sz w:val="24"/>
        </w:rPr>
        <w:t xml:space="preserve">În cadrul procedurilor de achiziție pentru </w:t>
      </w:r>
      <w:r>
        <w:rPr>
          <w:rFonts w:asciiTheme="minorHAnsi" w:hAnsiTheme="minorHAnsi" w:cstheme="minorHAnsi"/>
          <w:b/>
          <w:bCs/>
          <w:snapToGrid w:val="0"/>
          <w:sz w:val="24"/>
          <w:u w:val="single"/>
        </w:rPr>
        <w:t>execuția lucrărilor</w:t>
      </w:r>
      <w:r>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Pr>
          <w:rFonts w:asciiTheme="minorHAnsi" w:hAnsiTheme="minorHAnsi" w:cstheme="minorHAnsi"/>
          <w:snapToGrid w:val="0"/>
          <w:sz w:val="24"/>
        </w:rPr>
        <w:t xml:space="preserve"> </w:t>
      </w:r>
    </w:p>
    <w:p>
      <w:p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lastRenderedPageBreak/>
        <w:t>Totodată, MAMP va condiționa plățile efectuate către beneficiari de prezentarea următoarelor documente în faza de execuție: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Situație de lucrări cu defalcarea următoare (unde este cazul):</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materiale desființate ......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materiale reutilizate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materiale reciclate .......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deșeuri ...... mc/mp</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Certificare de către firma de gestiune deșeuri cu cantitatea de deșeuri preluate, din care se specifică cantitatea de deșeuri incinerate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 xml:space="preserve">Fișă cu date de securitate ale produselor (conform Regulament UE 2015/830) </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Fișe tehnice ale utilajelor utilizate – măsuri de reducerea poluării</w:t>
      </w:r>
    </w:p>
    <w:p>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prevederi în caietele de sarcini pentru elaborarea documentației tehnico-economice (descrierea gestionării deșeurilor, inclusiv a categoriilor care necesită incinerare - deșeuri din construcție, deșeuri rezultate din ambalaje materiale, etc).</w:t>
      </w:r>
    </w:p>
    <w:p>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trPr>
          <w:trHeight w:val="360"/>
        </w:trPr>
        <w:tc>
          <w:tcPr>
            <w:tcW w:w="4428" w:type="dxa"/>
          </w:tcPr>
          <w:p>
            <w:pPr>
              <w:jc w:val="both"/>
              <w:rPr>
                <w:rFonts w:asciiTheme="minorHAnsi" w:hAnsiTheme="minorHAnsi" w:cstheme="minorHAnsi"/>
                <w:sz w:val="24"/>
              </w:rPr>
            </w:pPr>
            <w:r>
              <w:rPr>
                <w:rFonts w:asciiTheme="minorHAnsi" w:hAnsiTheme="minorHAnsi" w:cstheme="minorHAnsi"/>
                <w:sz w:val="24"/>
              </w:rPr>
              <w:t>Data:</w:t>
            </w:r>
          </w:p>
        </w:tc>
        <w:tc>
          <w:tcPr>
            <w:tcW w:w="4428" w:type="dxa"/>
          </w:tcPr>
          <w:p>
            <w:pPr>
              <w:jc w:val="both"/>
              <w:rPr>
                <w:rFonts w:asciiTheme="minorHAnsi" w:hAnsiTheme="minorHAnsi" w:cstheme="minorHAnsi"/>
                <w:sz w:val="24"/>
              </w:rPr>
            </w:pPr>
            <w:r>
              <w:rPr>
                <w:rFonts w:asciiTheme="minorHAnsi" w:hAnsiTheme="minorHAnsi" w:cstheme="minorHAnsi"/>
                <w:sz w:val="24"/>
              </w:rPr>
              <w:t>Semnătura:</w:t>
            </w:r>
          </w:p>
          <w:p>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pPr>
        <w:rPr>
          <w:rFonts w:asciiTheme="minorHAnsi" w:hAnsiTheme="minorHAnsi" w:cstheme="minorHAnsi"/>
          <w:sz w:val="24"/>
        </w:rPr>
      </w:pPr>
    </w:p>
    <w:sectPr>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keepNext/>
      <w:spacing w:before="0" w:after="0"/>
      <w:outlineLvl w:val="7"/>
      <w:rPr>
        <w:rFonts w:asciiTheme="minorHAnsi" w:hAnsiTheme="minorHAnsi" w:cstheme="minorHAnsi"/>
        <w:b/>
        <w:color w:val="333333"/>
        <w:sz w:val="16"/>
      </w:rPr>
    </w:pPr>
    <w:r>
      <w:rPr>
        <w:rFonts w:asciiTheme="minorHAnsi" w:hAnsiTheme="minorHAnsi" w:cstheme="minorHAnsi"/>
        <w:b/>
        <w:color w:val="333333"/>
        <w:sz w:val="16"/>
      </w:rPr>
      <w:t xml:space="preserve">Planului Național de Redresare și Reziliență </w:t>
    </w:r>
  </w:p>
  <w:p>
    <w:pPr>
      <w:keepNext/>
      <w:spacing w:before="0" w:after="0"/>
      <w:outlineLvl w:val="7"/>
      <w:rPr>
        <w:rFonts w:asciiTheme="minorHAnsi" w:hAnsiTheme="minorHAnsi" w:cstheme="minorHAnsi"/>
        <w:b/>
        <w:bCs/>
        <w:color w:val="333333"/>
        <w:sz w:val="16"/>
      </w:rPr>
    </w:pPr>
    <w:r>
      <w:rPr>
        <w:rFonts w:asciiTheme="minorHAnsi" w:hAnsiTheme="minorHAnsi" w:cstheme="minorHAnsi"/>
        <w:b/>
        <w:color w:val="333333"/>
        <w:sz w:val="16"/>
      </w:rPr>
      <w:t>Componenta C3 - Investiția I1. Dezvoltarea, modernizarea și completarea sistemelor de management integrat al deșeurilor municipale la nivel de județ sau la nivel de orașe/comune Sub-investiția I.1.B CONSTRUIREA DE INSULE ECOLOGICE DIGITALIZATE</w:t>
    </w:r>
  </w:p>
  <w:p>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03157858">
    <w:abstractNumId w:val="0"/>
  </w:num>
  <w:num w:numId="2" w16cid:durableId="259678087">
    <w:abstractNumId w:val="3"/>
  </w:num>
  <w:num w:numId="3" w16cid:durableId="1950236351">
    <w:abstractNumId w:val="5"/>
  </w:num>
  <w:num w:numId="4" w16cid:durableId="240338035">
    <w:abstractNumId w:val="4"/>
  </w:num>
  <w:num w:numId="5" w16cid:durableId="143738733">
    <w:abstractNumId w:val="1"/>
  </w:num>
  <w:num w:numId="6" w16cid:durableId="242299640">
    <w:abstractNumId w:val="7"/>
  </w:num>
  <w:num w:numId="7" w16cid:durableId="601836316">
    <w:abstractNumId w:val="8"/>
  </w:num>
  <w:num w:numId="8" w16cid:durableId="1125807801">
    <w:abstractNumId w:val="6"/>
  </w:num>
  <w:num w:numId="9" w16cid:durableId="610673895">
    <w:abstractNumId w:val="9"/>
  </w:num>
  <w:num w:numId="10" w16cid:durableId="1893538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6</Pages>
  <Words>2793</Words>
  <Characters>16204</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23</cp:revision>
  <dcterms:created xsi:type="dcterms:W3CDTF">2022-03-21T13:48:00Z</dcterms:created>
  <dcterms:modified xsi:type="dcterms:W3CDTF">2022-05-26T09:07:00Z</dcterms:modified>
</cp:coreProperties>
</file>